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5"/>
        <w:gridCol w:w="4108"/>
        <w:gridCol w:w="5425"/>
        <w:gridCol w:w="312"/>
      </w:tblGrid>
      <w:tr w:rsidR="00144C5B" w:rsidRPr="00685EA3" w14:paraId="68495586"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74186E38" w14:textId="77777777" w:rsidR="00144C5B" w:rsidRPr="00685EA3" w:rsidRDefault="001C0881">
            <w:pPr>
              <w:spacing w:after="0" w:line="240" w:lineRule="auto"/>
              <w:jc w:val="center"/>
              <w:rPr>
                <w:rFonts w:eastAsia="Times New Roman" w:cs="Calibri"/>
                <w:b/>
                <w:bCs/>
                <w:color w:val="FFFFFF"/>
                <w:lang w:eastAsia="sk-SK"/>
              </w:rPr>
            </w:pPr>
            <w:r w:rsidRPr="00685EA3">
              <w:rPr>
                <w:rFonts w:eastAsia="Times New Roman" w:cs="Calibri"/>
                <w:b/>
                <w:bCs/>
                <w:color w:val="FFFFFF"/>
                <w:lang w:eastAsia="sk-SK"/>
              </w:rPr>
              <w:t xml:space="preserve">Charakteristika predkladaného výstupu tvorivej činnosti / </w:t>
            </w:r>
            <w:r w:rsidRPr="00685EA3">
              <w:rPr>
                <w:rFonts w:eastAsia="Times New Roman" w:cs="Calibri"/>
                <w:b/>
                <w:bCs/>
                <w:color w:val="FFFFFF"/>
                <w:lang w:eastAsia="sk-SK"/>
              </w:rPr>
              <w:br/>
              <w:t>Characteristics of the submitted research/ artistic/other output</w:t>
            </w:r>
          </w:p>
        </w:tc>
      </w:tr>
      <w:tr w:rsidR="00144C5B" w:rsidRPr="00685EA3" w14:paraId="02C462C1" w14:textId="77777777">
        <w:trPr>
          <w:trHeight w:val="450"/>
        </w:trPr>
        <w:tc>
          <w:tcPr>
            <w:tcW w:w="10168" w:type="dxa"/>
            <w:gridSpan w:val="3"/>
            <w:vMerge/>
            <w:tcBorders>
              <w:top w:val="nil"/>
              <w:left w:val="nil"/>
              <w:bottom w:val="nil"/>
              <w:right w:val="nil"/>
            </w:tcBorders>
            <w:vAlign w:val="center"/>
          </w:tcPr>
          <w:p w14:paraId="6062E732" w14:textId="77777777" w:rsidR="00144C5B" w:rsidRPr="00685EA3" w:rsidRDefault="00144C5B">
            <w:pPr>
              <w:spacing w:after="0" w:line="240" w:lineRule="auto"/>
              <w:rPr>
                <w:rFonts w:eastAsia="Times New Roman" w:cs="Calibri"/>
                <w:b/>
                <w:bCs/>
                <w:color w:val="FFFFFF"/>
                <w:lang w:eastAsia="sk-SK"/>
              </w:rPr>
            </w:pPr>
          </w:p>
        </w:tc>
        <w:tc>
          <w:tcPr>
            <w:tcW w:w="312" w:type="dxa"/>
            <w:tcBorders>
              <w:top w:val="nil"/>
              <w:left w:val="nil"/>
              <w:bottom w:val="nil"/>
              <w:right w:val="nil"/>
            </w:tcBorders>
            <w:shd w:val="clear" w:color="auto" w:fill="auto"/>
            <w:noWrap/>
            <w:vAlign w:val="bottom"/>
          </w:tcPr>
          <w:p w14:paraId="4D4C4A1F" w14:textId="77777777" w:rsidR="00144C5B" w:rsidRPr="00685EA3" w:rsidRDefault="00144C5B">
            <w:pPr>
              <w:spacing w:after="0" w:line="240" w:lineRule="auto"/>
              <w:jc w:val="center"/>
              <w:rPr>
                <w:rFonts w:eastAsia="Times New Roman" w:cs="Calibri"/>
                <w:b/>
                <w:bCs/>
                <w:color w:val="FFFFFF"/>
                <w:lang w:eastAsia="sk-SK"/>
              </w:rPr>
            </w:pPr>
          </w:p>
        </w:tc>
      </w:tr>
      <w:tr w:rsidR="00144C5B" w:rsidRPr="00685EA3" w14:paraId="35628E52" w14:textId="77777777">
        <w:trPr>
          <w:trHeight w:val="60"/>
        </w:trPr>
        <w:tc>
          <w:tcPr>
            <w:tcW w:w="667" w:type="dxa"/>
            <w:tcBorders>
              <w:top w:val="nil"/>
              <w:left w:val="nil"/>
              <w:bottom w:val="nil"/>
              <w:right w:val="nil"/>
            </w:tcBorders>
            <w:shd w:val="clear" w:color="auto" w:fill="auto"/>
            <w:vAlign w:val="center"/>
          </w:tcPr>
          <w:p w14:paraId="430D3146"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6C2815E2"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58DC6C92"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1B3E056B"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36C298FA" w14:textId="77777777">
        <w:trPr>
          <w:trHeight w:val="375"/>
        </w:trPr>
        <w:tc>
          <w:tcPr>
            <w:tcW w:w="10168" w:type="dxa"/>
            <w:gridSpan w:val="3"/>
            <w:vMerge w:val="restart"/>
            <w:tcBorders>
              <w:top w:val="nil"/>
              <w:left w:val="nil"/>
              <w:bottom w:val="nil"/>
              <w:right w:val="nil"/>
            </w:tcBorders>
            <w:shd w:val="clear" w:color="auto" w:fill="auto"/>
            <w:vAlign w:val="bottom"/>
          </w:tcPr>
          <w:p w14:paraId="20FABF53" w14:textId="77777777" w:rsidR="00144C5B" w:rsidRPr="00685EA3" w:rsidRDefault="001C0881">
            <w:pPr>
              <w:spacing w:after="0" w:line="240" w:lineRule="auto"/>
              <w:rPr>
                <w:rFonts w:eastAsia="Times New Roman" w:cs="Calibri"/>
                <w:i/>
                <w:iCs/>
                <w:color w:val="2F5597"/>
                <w:sz w:val="16"/>
                <w:szCs w:val="16"/>
                <w:lang w:eastAsia="sk-SK"/>
              </w:rPr>
            </w:pPr>
            <w:r w:rsidRPr="00685EA3">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4E8A9D55"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1095E7F3" w14:textId="77777777">
        <w:trPr>
          <w:trHeight w:val="375"/>
        </w:trPr>
        <w:tc>
          <w:tcPr>
            <w:tcW w:w="10168" w:type="dxa"/>
            <w:gridSpan w:val="3"/>
            <w:vMerge/>
            <w:tcBorders>
              <w:top w:val="nil"/>
              <w:left w:val="nil"/>
              <w:bottom w:val="nil"/>
              <w:right w:val="nil"/>
            </w:tcBorders>
            <w:vAlign w:val="center"/>
          </w:tcPr>
          <w:p w14:paraId="62737327" w14:textId="77777777" w:rsidR="00144C5B" w:rsidRPr="00685EA3" w:rsidRDefault="00144C5B">
            <w:pPr>
              <w:spacing w:after="0" w:line="240" w:lineRule="auto"/>
              <w:rPr>
                <w:rFonts w:eastAsia="Times New Roman"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2159230" w14:textId="77777777" w:rsidR="00144C5B" w:rsidRPr="00685EA3" w:rsidRDefault="00144C5B">
            <w:pPr>
              <w:spacing w:after="0" w:line="240" w:lineRule="auto"/>
              <w:rPr>
                <w:rFonts w:eastAsia="Times New Roman" w:cs="Calibri"/>
                <w:i/>
                <w:iCs/>
                <w:color w:val="2F5597"/>
                <w:sz w:val="16"/>
                <w:szCs w:val="16"/>
                <w:lang w:eastAsia="sk-SK"/>
              </w:rPr>
            </w:pPr>
          </w:p>
        </w:tc>
      </w:tr>
      <w:tr w:rsidR="00144C5B" w:rsidRPr="00685EA3" w14:paraId="4807DBAA" w14:textId="77777777">
        <w:trPr>
          <w:trHeight w:val="90"/>
        </w:trPr>
        <w:tc>
          <w:tcPr>
            <w:tcW w:w="667" w:type="dxa"/>
            <w:tcBorders>
              <w:top w:val="nil"/>
              <w:left w:val="nil"/>
              <w:bottom w:val="nil"/>
              <w:right w:val="nil"/>
            </w:tcBorders>
            <w:shd w:val="clear" w:color="auto" w:fill="auto"/>
            <w:vAlign w:val="center"/>
          </w:tcPr>
          <w:p w14:paraId="61F004B5"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4FF183C5"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7F590B9B"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161F40DB"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4D4751F9" w14:textId="77777777">
        <w:trPr>
          <w:trHeight w:val="345"/>
        </w:trPr>
        <w:tc>
          <w:tcPr>
            <w:tcW w:w="667" w:type="dxa"/>
            <w:tcBorders>
              <w:top w:val="nil"/>
              <w:left w:val="nil"/>
              <w:bottom w:val="nil"/>
              <w:right w:val="nil"/>
            </w:tcBorders>
            <w:shd w:val="clear" w:color="auto" w:fill="auto"/>
            <w:vAlign w:val="center"/>
          </w:tcPr>
          <w:p w14:paraId="7082D4E2" w14:textId="77777777" w:rsidR="00144C5B" w:rsidRPr="00685EA3" w:rsidRDefault="00144C5B">
            <w:pPr>
              <w:spacing w:after="0" w:line="240" w:lineRule="auto"/>
              <w:rPr>
                <w:rFonts w:eastAsia="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62DD0EB" w14:textId="77777777" w:rsidR="00144C5B" w:rsidRPr="00685EA3" w:rsidRDefault="008310B9">
            <w:pPr>
              <w:spacing w:after="0" w:line="240" w:lineRule="auto"/>
              <w:rPr>
                <w:rFonts w:eastAsia="Times New Roman" w:cs="Calibri"/>
                <w:sz w:val="16"/>
                <w:szCs w:val="16"/>
                <w:lang w:eastAsia="sk-SK"/>
              </w:rPr>
            </w:pPr>
            <w:hyperlink r:id="rId8" w:anchor="'poznamky_explanatory notes'!A1" w:history="1">
              <w:r w:rsidR="001C0881" w:rsidRPr="00685EA3">
                <w:rPr>
                  <w:rFonts w:eastAsia="Times New Roman" w:cs="Calibri"/>
                  <w:sz w:val="16"/>
                  <w:szCs w:val="16"/>
                  <w:lang w:eastAsia="sk-SK"/>
                </w:rPr>
                <w:t xml:space="preserve">ID konania/ID of the procedure: </w:t>
              </w:r>
              <w:r w:rsidR="001C0881" w:rsidRPr="00685EA3">
                <w:rPr>
                  <w:rFonts w:eastAsia="Times New Roman"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06B4BA17"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5E53BB5A"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3DD5534E" w14:textId="77777777">
        <w:trPr>
          <w:trHeight w:val="345"/>
        </w:trPr>
        <w:tc>
          <w:tcPr>
            <w:tcW w:w="667" w:type="dxa"/>
            <w:tcBorders>
              <w:top w:val="nil"/>
              <w:left w:val="nil"/>
              <w:bottom w:val="nil"/>
              <w:right w:val="nil"/>
            </w:tcBorders>
            <w:shd w:val="clear" w:color="auto" w:fill="auto"/>
            <w:vAlign w:val="center"/>
          </w:tcPr>
          <w:p w14:paraId="442094F9" w14:textId="77777777" w:rsidR="00144C5B" w:rsidRPr="00685EA3" w:rsidRDefault="00144C5B">
            <w:pPr>
              <w:spacing w:after="0" w:line="240" w:lineRule="auto"/>
              <w:rPr>
                <w:rFonts w:eastAsia="Times New Roman"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30FFF44B" w14:textId="77777777" w:rsidR="00144C5B" w:rsidRPr="00685EA3" w:rsidRDefault="001C0881">
            <w:pPr>
              <w:spacing w:after="0" w:line="240" w:lineRule="auto"/>
              <w:rPr>
                <w:rFonts w:eastAsia="Times New Roman" w:cs="Calibri"/>
                <w:sz w:val="16"/>
                <w:szCs w:val="16"/>
                <w:lang w:eastAsia="sk-SK"/>
              </w:rPr>
            </w:pPr>
            <w:r w:rsidRPr="00685EA3">
              <w:rPr>
                <w:rFonts w:eastAsia="Times New Roman" w:cs="Calibri"/>
                <w:sz w:val="16"/>
                <w:szCs w:val="16"/>
                <w:lang w:eastAsia="sk-SK"/>
              </w:rPr>
              <w:fldChar w:fldCharType="begin"/>
            </w:r>
            <w:r w:rsidRPr="00685EA3">
              <w:rPr>
                <w:rFonts w:eastAsia="Times New Roman" w:cs="Calibri"/>
                <w:sz w:val="16"/>
                <w:szCs w:val="16"/>
                <w:lang w:eastAsia="sk-SK"/>
              </w:rPr>
              <w:instrText xml:space="preserve"> HYPERLINK "file:///E:\\Šablony%20akreditácia\\4_VTC.xlsx" \l "'poznamky_explanatory notes'!A1" </w:instrText>
            </w:r>
            <w:r w:rsidRPr="00685EA3">
              <w:rPr>
                <w:rFonts w:eastAsia="Times New Roman" w:cs="Calibri"/>
                <w:sz w:val="16"/>
                <w:szCs w:val="16"/>
                <w:lang w:eastAsia="sk-SK"/>
              </w:rPr>
              <w:fldChar w:fldCharType="separate"/>
            </w:r>
            <w:r w:rsidRPr="00685EA3">
              <w:rPr>
                <w:rFonts w:eastAsia="Times New Roman" w:cs="Calibri"/>
                <w:sz w:val="16"/>
                <w:szCs w:val="16"/>
                <w:lang w:eastAsia="sk-SK"/>
              </w:rPr>
              <w:t>Kód VTC/Code of the research/artistic/other output (RAOO):</w:t>
            </w:r>
            <w:r w:rsidRPr="00685EA3">
              <w:rPr>
                <w:rFonts w:eastAsia="Times New Roman" w:cs="Calibri"/>
                <w:sz w:val="16"/>
                <w:szCs w:val="16"/>
                <w:vertAlign w:val="superscript"/>
                <w:lang w:eastAsia="sk-SK"/>
              </w:rPr>
              <w:t>1</w:t>
            </w:r>
            <w:r w:rsidRPr="00685EA3">
              <w:rPr>
                <w:rFonts w:eastAsia="Times New Roman"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664BA0EF"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w:t>
            </w:r>
          </w:p>
        </w:tc>
        <w:tc>
          <w:tcPr>
            <w:tcW w:w="312" w:type="dxa"/>
            <w:vAlign w:val="center"/>
          </w:tcPr>
          <w:p w14:paraId="7E69D9CC"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5983920C" w14:textId="77777777">
        <w:trPr>
          <w:trHeight w:val="405"/>
        </w:trPr>
        <w:tc>
          <w:tcPr>
            <w:tcW w:w="667" w:type="dxa"/>
            <w:tcBorders>
              <w:top w:val="nil"/>
              <w:left w:val="nil"/>
              <w:bottom w:val="nil"/>
              <w:right w:val="nil"/>
            </w:tcBorders>
            <w:shd w:val="clear" w:color="auto" w:fill="auto"/>
            <w:vAlign w:val="center"/>
          </w:tcPr>
          <w:p w14:paraId="3BE9BC44"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nil"/>
              <w:right w:val="nil"/>
            </w:tcBorders>
            <w:shd w:val="clear" w:color="auto" w:fill="auto"/>
            <w:vAlign w:val="center"/>
          </w:tcPr>
          <w:p w14:paraId="10E849E2" w14:textId="77777777" w:rsidR="00144C5B" w:rsidRPr="00685EA3" w:rsidRDefault="00144C5B">
            <w:pPr>
              <w:spacing w:after="0" w:line="240" w:lineRule="auto"/>
              <w:rPr>
                <w:rFonts w:eastAsia="Times New Roman" w:cs="Times New Roman"/>
                <w:sz w:val="20"/>
                <w:szCs w:val="20"/>
                <w:lang w:eastAsia="sk-SK"/>
              </w:rPr>
            </w:pPr>
          </w:p>
        </w:tc>
        <w:tc>
          <w:tcPr>
            <w:tcW w:w="5122" w:type="dxa"/>
            <w:tcBorders>
              <w:top w:val="nil"/>
              <w:left w:val="nil"/>
              <w:bottom w:val="nil"/>
              <w:right w:val="nil"/>
            </w:tcBorders>
            <w:shd w:val="clear" w:color="auto" w:fill="auto"/>
          </w:tcPr>
          <w:p w14:paraId="3A671A06" w14:textId="77777777" w:rsidR="00144C5B" w:rsidRPr="00685EA3" w:rsidRDefault="00144C5B">
            <w:pPr>
              <w:spacing w:after="0" w:line="240" w:lineRule="auto"/>
              <w:rPr>
                <w:rFonts w:eastAsia="Times New Roman" w:cs="Times New Roman"/>
                <w:sz w:val="20"/>
                <w:szCs w:val="20"/>
                <w:lang w:eastAsia="sk-SK"/>
              </w:rPr>
            </w:pPr>
          </w:p>
        </w:tc>
        <w:tc>
          <w:tcPr>
            <w:tcW w:w="312" w:type="dxa"/>
            <w:vAlign w:val="center"/>
          </w:tcPr>
          <w:p w14:paraId="205E377E" w14:textId="77777777" w:rsidR="00144C5B" w:rsidRPr="00685EA3" w:rsidRDefault="00144C5B">
            <w:pPr>
              <w:spacing w:after="0" w:line="240" w:lineRule="auto"/>
              <w:rPr>
                <w:rFonts w:eastAsia="Times New Roman" w:cs="Times New Roman"/>
                <w:sz w:val="20"/>
                <w:szCs w:val="20"/>
                <w:lang w:eastAsia="sk-SK"/>
              </w:rPr>
            </w:pPr>
          </w:p>
        </w:tc>
      </w:tr>
      <w:tr w:rsidR="00144C5B" w:rsidRPr="00685EA3" w14:paraId="6ADB03CD"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786B5D2" w14:textId="77777777" w:rsidR="00144C5B" w:rsidRPr="00685EA3" w:rsidRDefault="008310B9">
            <w:pPr>
              <w:spacing w:after="0" w:line="240" w:lineRule="auto"/>
              <w:rPr>
                <w:rFonts w:eastAsia="Times New Roman" w:cs="Calibri"/>
                <w:sz w:val="16"/>
                <w:szCs w:val="16"/>
                <w:lang w:eastAsia="sk-SK"/>
              </w:rPr>
            </w:pPr>
            <w:hyperlink r:id="rId9" w:anchor="'poznamky_explanatory notes'!A1" w:history="1">
              <w:r w:rsidR="001C0881" w:rsidRPr="00685EA3">
                <w:rPr>
                  <w:rFonts w:eastAsia="Times New Roman" w:cs="Calibri"/>
                  <w:sz w:val="16"/>
                  <w:szCs w:val="16"/>
                  <w:lang w:eastAsia="sk-SK"/>
                </w:rPr>
                <w:t xml:space="preserve">OCA1. Priezvisko hodnotenej osoby / Surname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75F9FC7F" w14:textId="77777777" w:rsidR="00144C5B" w:rsidRPr="0013535C" w:rsidRDefault="001C0881" w:rsidP="006E2C62">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6E2C62" w:rsidRPr="0013535C">
              <w:rPr>
                <w:rFonts w:eastAsia="Times New Roman" w:cs="Calibri"/>
                <w:sz w:val="16"/>
                <w:szCs w:val="16"/>
                <w:lang w:val="en-US" w:eastAsia="sk-SK"/>
              </w:rPr>
              <w:t>Vallová</w:t>
            </w:r>
          </w:p>
        </w:tc>
        <w:tc>
          <w:tcPr>
            <w:tcW w:w="312" w:type="dxa"/>
            <w:vAlign w:val="center"/>
          </w:tcPr>
          <w:p w14:paraId="125891B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703BB79" w14:textId="77777777" w:rsidTr="00685EA3">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F2DC602" w14:textId="77777777" w:rsidR="00144C5B" w:rsidRPr="00685EA3" w:rsidRDefault="008310B9">
            <w:pPr>
              <w:spacing w:after="0" w:line="240" w:lineRule="auto"/>
              <w:rPr>
                <w:rFonts w:eastAsia="Times New Roman" w:cs="Calibri"/>
                <w:sz w:val="16"/>
                <w:szCs w:val="16"/>
                <w:lang w:eastAsia="sk-SK"/>
              </w:rPr>
            </w:pPr>
            <w:hyperlink r:id="rId10" w:anchor="'poznamky_explanatory notes'!A1" w:history="1">
              <w:r w:rsidR="001C0881" w:rsidRPr="00685EA3">
                <w:rPr>
                  <w:rFonts w:eastAsia="Times New Roman" w:cs="Calibri"/>
                  <w:sz w:val="16"/>
                  <w:szCs w:val="16"/>
                  <w:lang w:eastAsia="sk-SK"/>
                </w:rPr>
                <w:t xml:space="preserve">OCA2. Meno hodnotenej osoby / Name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4A12225A" w14:textId="77777777" w:rsidR="00144C5B" w:rsidRPr="0013535C" w:rsidRDefault="001C0881" w:rsidP="00CD064D">
            <w:pPr>
              <w:spacing w:after="0" w:line="240" w:lineRule="auto"/>
              <w:rPr>
                <w:rFonts w:eastAsia="Times New Roman" w:cs="Calibri"/>
                <w:sz w:val="16"/>
                <w:szCs w:val="16"/>
                <w:lang w:val="en-US" w:eastAsia="sk-SK"/>
              </w:rPr>
            </w:pPr>
            <w:r w:rsidRPr="0013535C">
              <w:rPr>
                <w:rFonts w:eastAsia="Times New Roman" w:cs="Calibri"/>
                <w:sz w:val="16"/>
                <w:szCs w:val="16"/>
                <w:lang w:eastAsia="sk-SK"/>
              </w:rPr>
              <w:t> </w:t>
            </w:r>
            <w:r w:rsidR="00CD064D" w:rsidRPr="0013535C">
              <w:rPr>
                <w:rFonts w:eastAsia="Times New Roman" w:cs="Calibri"/>
                <w:sz w:val="16"/>
                <w:szCs w:val="16"/>
                <w:lang w:eastAsia="sk-SK"/>
              </w:rPr>
              <w:t>Jana</w:t>
            </w:r>
          </w:p>
        </w:tc>
        <w:tc>
          <w:tcPr>
            <w:tcW w:w="312" w:type="dxa"/>
            <w:vAlign w:val="center"/>
          </w:tcPr>
          <w:p w14:paraId="34BCB8A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2F239BC" w14:textId="77777777" w:rsidTr="00685EA3">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53BF9A1" w14:textId="77777777" w:rsidR="00144C5B" w:rsidRPr="00685EA3" w:rsidRDefault="008310B9">
            <w:pPr>
              <w:spacing w:after="0" w:line="240" w:lineRule="auto"/>
              <w:rPr>
                <w:rFonts w:eastAsia="Times New Roman" w:cs="Calibri"/>
                <w:sz w:val="16"/>
                <w:szCs w:val="16"/>
                <w:lang w:eastAsia="sk-SK"/>
              </w:rPr>
            </w:pPr>
            <w:hyperlink r:id="rId11" w:anchor="'poznamky_explanatory notes'!A1" w:history="1">
              <w:r w:rsidR="001C0881" w:rsidRPr="00685EA3">
                <w:rPr>
                  <w:rFonts w:eastAsia="Times New Roman" w:cs="Calibri"/>
                  <w:sz w:val="16"/>
                  <w:szCs w:val="16"/>
                  <w:lang w:eastAsia="sk-SK"/>
                </w:rPr>
                <w:t xml:space="preserve">OCA3. Tituly hodnotenej osoby / Degrees awarded to the assessed person </w:t>
              </w:r>
              <w:r w:rsidR="001C0881" w:rsidRPr="00685EA3">
                <w:rPr>
                  <w:rFonts w:eastAsia="Times New Roman"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8E48C2D" w14:textId="77777777" w:rsidR="00144C5B" w:rsidRPr="0013535C" w:rsidRDefault="001C0881" w:rsidP="005E7877">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5E7877" w:rsidRPr="0013535C">
              <w:rPr>
                <w:rFonts w:eastAsia="Times New Roman" w:cs="Calibri"/>
                <w:sz w:val="16"/>
                <w:szCs w:val="16"/>
                <w:lang w:eastAsia="sk-SK"/>
              </w:rPr>
              <w:t>prof</w:t>
            </w:r>
            <w:r w:rsidRPr="0013535C">
              <w:rPr>
                <w:rFonts w:eastAsia="Times New Roman" w:cs="Calibri"/>
                <w:sz w:val="16"/>
                <w:szCs w:val="16"/>
                <w:lang w:val="en-US" w:eastAsia="sk-SK"/>
              </w:rPr>
              <w:t>.</w:t>
            </w:r>
            <w:r w:rsidR="006E2C62" w:rsidRPr="0013535C">
              <w:rPr>
                <w:rFonts w:eastAsia="Times New Roman" w:cs="Calibri"/>
                <w:sz w:val="16"/>
                <w:szCs w:val="16"/>
                <w:lang w:val="en-US" w:eastAsia="sk-SK"/>
              </w:rPr>
              <w:t>,</w:t>
            </w:r>
            <w:r w:rsidRPr="0013535C">
              <w:rPr>
                <w:rFonts w:eastAsia="Times New Roman" w:cs="Calibri"/>
                <w:sz w:val="16"/>
                <w:szCs w:val="16"/>
                <w:lang w:val="en-US" w:eastAsia="sk-SK"/>
              </w:rPr>
              <w:t xml:space="preserve"> </w:t>
            </w:r>
            <w:r w:rsidR="006E2C62" w:rsidRPr="0013535C">
              <w:rPr>
                <w:rFonts w:eastAsia="Times New Roman" w:cs="Calibri"/>
                <w:sz w:val="16"/>
                <w:szCs w:val="16"/>
                <w:lang w:val="en-US" w:eastAsia="sk-SK"/>
              </w:rPr>
              <w:t>JU</w:t>
            </w:r>
            <w:r w:rsidRPr="0013535C">
              <w:rPr>
                <w:rFonts w:eastAsia="Times New Roman" w:cs="Calibri"/>
                <w:sz w:val="16"/>
                <w:szCs w:val="16"/>
                <w:lang w:val="en-US" w:eastAsia="sk-SK"/>
              </w:rPr>
              <w:t>Dr., PhD.</w:t>
            </w:r>
          </w:p>
        </w:tc>
        <w:tc>
          <w:tcPr>
            <w:tcW w:w="312" w:type="dxa"/>
            <w:vAlign w:val="center"/>
          </w:tcPr>
          <w:p w14:paraId="12E2696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156F22EB"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19DA64E" w14:textId="77777777" w:rsidR="00144C5B" w:rsidRPr="00685EA3" w:rsidRDefault="008310B9">
            <w:pPr>
              <w:spacing w:after="0" w:line="240" w:lineRule="auto"/>
              <w:rPr>
                <w:rFonts w:eastAsia="Times New Roman" w:cs="Calibri"/>
                <w:sz w:val="16"/>
                <w:szCs w:val="16"/>
                <w:lang w:eastAsia="sk-SK"/>
              </w:rPr>
            </w:pPr>
            <w:hyperlink r:id="rId12" w:anchor="'poznamky_explanatory notes'!A1" w:history="1">
              <w:r w:rsidR="001C0881" w:rsidRPr="00685EA3">
                <w:rPr>
                  <w:rFonts w:eastAsia="Times New Roman" w:cs="Calibri"/>
                  <w:sz w:val="16"/>
                  <w:szCs w:val="16"/>
                  <w:lang w:eastAsia="sk-SK"/>
                </w:rPr>
                <w:t xml:space="preserve">OCA4. Hyperlink na záznam osoby v Registri zamestnancov vysokých škôl / Hyperlink to the entry of the person in the Register of university staff </w:t>
              </w:r>
              <w:r w:rsidR="001C0881" w:rsidRPr="00685EA3">
                <w:rPr>
                  <w:rFonts w:eastAsia="Times New Roman"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4801E357" w14:textId="77777777" w:rsidR="00144C5B" w:rsidRPr="0013535C" w:rsidRDefault="001C0881" w:rsidP="001F4FC1">
            <w:pPr>
              <w:spacing w:after="0" w:line="240" w:lineRule="auto"/>
              <w:rPr>
                <w:rFonts w:eastAsia="Times New Roman" w:cs="Calibri"/>
                <w:sz w:val="16"/>
                <w:szCs w:val="16"/>
                <w:lang w:eastAsia="sk-SK"/>
              </w:rPr>
            </w:pPr>
            <w:r w:rsidRPr="0013535C">
              <w:rPr>
                <w:rFonts w:eastAsia="Times New Roman" w:cs="Calibri"/>
                <w:sz w:val="16"/>
                <w:szCs w:val="16"/>
                <w:lang w:eastAsia="sk-SK"/>
              </w:rPr>
              <w:t> </w:t>
            </w:r>
            <w:hyperlink r:id="rId13" w:history="1">
              <w:r w:rsidR="001F4FC1" w:rsidRPr="0037004B">
                <w:rPr>
                  <w:rStyle w:val="Hypertextovprepojenie"/>
                  <w:rFonts w:eastAsia="Times New Roman"/>
                  <w:sz w:val="16"/>
                  <w:szCs w:val="16"/>
                  <w:lang w:eastAsia="sk-SK"/>
                </w:rPr>
                <w:t>https://www.portalvs.sk/regzam/detail/12328</w:t>
              </w:r>
            </w:hyperlink>
          </w:p>
        </w:tc>
        <w:tc>
          <w:tcPr>
            <w:tcW w:w="312" w:type="dxa"/>
            <w:vAlign w:val="center"/>
          </w:tcPr>
          <w:p w14:paraId="0B7B54C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21A8BA9" w14:textId="77777777" w:rsidTr="00685EA3">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39B4AB0" w14:textId="77777777" w:rsidR="00144C5B" w:rsidRPr="00685EA3" w:rsidRDefault="008310B9">
            <w:pPr>
              <w:spacing w:after="0" w:line="240" w:lineRule="auto"/>
              <w:rPr>
                <w:rFonts w:eastAsia="Times New Roman" w:cs="Calibri"/>
                <w:sz w:val="16"/>
                <w:szCs w:val="16"/>
                <w:lang w:eastAsia="sk-SK"/>
              </w:rPr>
            </w:pPr>
            <w:hyperlink r:id="rId14" w:anchor="'poznamky_explanatory notes'!A1" w:history="1">
              <w:r w:rsidR="001C0881" w:rsidRPr="00685EA3">
                <w:rPr>
                  <w:rFonts w:eastAsia="Times New Roman" w:cs="Calibri"/>
                  <w:sz w:val="16"/>
                  <w:szCs w:val="16"/>
                  <w:lang w:eastAsia="sk-SK"/>
                </w:rPr>
                <w:t xml:space="preserve">OCA5. Oblasť posudzovania / Area of assessment </w:t>
              </w:r>
              <w:r w:rsidR="001C0881" w:rsidRPr="00685EA3">
                <w:rPr>
                  <w:rFonts w:eastAsia="Times New Roman"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78D406A" w14:textId="77777777" w:rsidR="00144C5B" w:rsidRPr="0013535C" w:rsidRDefault="001C0881" w:rsidP="007D5471">
            <w:pPr>
              <w:spacing w:after="0" w:line="240" w:lineRule="auto"/>
              <w:rPr>
                <w:rFonts w:eastAsia="Times New Roman" w:cs="Calibri"/>
                <w:sz w:val="16"/>
                <w:szCs w:val="16"/>
                <w:lang w:eastAsia="sk-SK"/>
              </w:rPr>
            </w:pPr>
            <w:r w:rsidRPr="0013535C">
              <w:rPr>
                <w:rFonts w:eastAsia="Times New Roman" w:cs="Calibri"/>
                <w:sz w:val="16"/>
                <w:szCs w:val="16"/>
                <w:lang w:eastAsia="sk-SK"/>
              </w:rPr>
              <w:t> </w:t>
            </w:r>
            <w:r w:rsidR="001F4840" w:rsidRPr="0013535C">
              <w:rPr>
                <w:rFonts w:eastAsia="Times New Roman" w:cs="Calibri"/>
                <w:sz w:val="16"/>
                <w:szCs w:val="16"/>
                <w:lang w:val="en-US" w:eastAsia="sk-SK"/>
              </w:rPr>
              <w:t>Správne právo</w:t>
            </w:r>
            <w:r w:rsidRPr="0013535C">
              <w:rPr>
                <w:rFonts w:eastAsia="Times New Roman" w:cs="Calibri"/>
                <w:sz w:val="16"/>
                <w:szCs w:val="16"/>
                <w:lang w:val="en-US" w:eastAsia="sk-SK"/>
              </w:rPr>
              <w:t xml:space="preserve"> I.</w:t>
            </w:r>
            <w:r w:rsidR="001F4840" w:rsidRPr="0013535C">
              <w:rPr>
                <w:rFonts w:eastAsia="Times New Roman" w:cs="Calibri"/>
                <w:sz w:val="16"/>
                <w:szCs w:val="16"/>
                <w:lang w:val="en-US" w:eastAsia="sk-SK"/>
              </w:rPr>
              <w:t xml:space="preserve"> </w:t>
            </w:r>
            <w:r w:rsidRPr="0013535C">
              <w:rPr>
                <w:rFonts w:eastAsia="Times New Roman" w:cs="Calibri"/>
                <w:sz w:val="16"/>
                <w:szCs w:val="16"/>
                <w:lang w:val="en-US" w:eastAsia="sk-SK"/>
              </w:rPr>
              <w:t xml:space="preserve">stupeň/ </w:t>
            </w:r>
            <w:r w:rsidR="007D5471" w:rsidRPr="0013535C">
              <w:rPr>
                <w:rFonts w:eastAsia="Times New Roman" w:cs="Calibri"/>
                <w:sz w:val="16"/>
                <w:szCs w:val="16"/>
                <w:lang w:val="en-US" w:eastAsia="sk-SK"/>
              </w:rPr>
              <w:t>Administrative Law I. degree</w:t>
            </w:r>
          </w:p>
        </w:tc>
        <w:tc>
          <w:tcPr>
            <w:tcW w:w="312" w:type="dxa"/>
            <w:vAlign w:val="center"/>
          </w:tcPr>
          <w:p w14:paraId="60ED13B9"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C5F45F7" w14:textId="77777777" w:rsidTr="00685EA3">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6C71A4" w14:textId="77777777" w:rsidR="00144C5B" w:rsidRPr="00685EA3" w:rsidRDefault="008310B9">
            <w:pPr>
              <w:spacing w:after="0" w:line="240" w:lineRule="auto"/>
              <w:rPr>
                <w:rFonts w:eastAsia="Times New Roman" w:cs="Calibri"/>
                <w:sz w:val="16"/>
                <w:szCs w:val="16"/>
                <w:lang w:eastAsia="sk-SK"/>
              </w:rPr>
            </w:pPr>
            <w:hyperlink r:id="rId15" w:anchor="Expl.OCA6!A1" w:history="1">
              <w:r w:rsidR="001C0881" w:rsidRPr="00685EA3">
                <w:rPr>
                  <w:rFonts w:eastAsia="Times New Roman" w:cs="Calibri"/>
                  <w:sz w:val="16"/>
                  <w:szCs w:val="16"/>
                  <w:lang w:eastAsia="sk-SK"/>
                </w:rPr>
                <w:t xml:space="preserve">OCA6. Kategória výstupu tvorivej činnosti / Category of the research/ artistic/other output </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0E50709B" w14:textId="77777777" w:rsidR="00502B4B" w:rsidRPr="00502B4B" w:rsidRDefault="00502B4B">
            <w:pPr>
              <w:spacing w:after="0" w:line="240" w:lineRule="auto"/>
              <w:rPr>
                <w:sz w:val="16"/>
                <w:szCs w:val="16"/>
              </w:rPr>
            </w:pPr>
            <w:r>
              <w:rPr>
                <w:rFonts w:eastAsia="Times New Roman" w:cs="Calibri"/>
                <w:iCs/>
                <w:sz w:val="16"/>
                <w:szCs w:val="16"/>
                <w:lang w:eastAsia="sk-SK"/>
              </w:rPr>
              <w:t>FAI</w:t>
            </w:r>
            <w:r w:rsidR="005C0CE2">
              <w:rPr>
                <w:rFonts w:eastAsia="Times New Roman" w:cs="Calibri"/>
                <w:iCs/>
                <w:sz w:val="16"/>
                <w:szCs w:val="16"/>
                <w:lang w:eastAsia="sk-SK"/>
              </w:rPr>
              <w:t xml:space="preserve"> </w:t>
            </w:r>
            <w:r>
              <w:rPr>
                <w:sz w:val="16"/>
                <w:szCs w:val="16"/>
              </w:rPr>
              <w:t>Zostavovateľské práce knižného charakteru</w:t>
            </w:r>
          </w:p>
          <w:p w14:paraId="3EFCB47D" w14:textId="77777777" w:rsidR="00144C5B" w:rsidRPr="0013535C" w:rsidRDefault="00144C5B">
            <w:pPr>
              <w:pStyle w:val="Normlny1"/>
              <w:rPr>
                <w:rFonts w:asciiTheme="minorHAnsi" w:hAnsiTheme="minorHAnsi" w:cs="Calibri"/>
                <w:sz w:val="16"/>
                <w:szCs w:val="16"/>
              </w:rPr>
            </w:pPr>
          </w:p>
          <w:p w14:paraId="7FA4F281" w14:textId="77777777" w:rsidR="00144C5B" w:rsidRPr="0013535C" w:rsidRDefault="00725BC8" w:rsidP="005A35D9">
            <w:pPr>
              <w:pStyle w:val="Normlny1"/>
              <w:rPr>
                <w:rFonts w:asciiTheme="minorHAnsi" w:eastAsia="Times New Roman" w:hAnsiTheme="minorHAnsi" w:cs="Calibri"/>
                <w:iCs/>
                <w:sz w:val="16"/>
                <w:szCs w:val="16"/>
              </w:rPr>
            </w:pPr>
            <w:r w:rsidRPr="00725BC8">
              <w:rPr>
                <w:rFonts w:asciiTheme="minorHAnsi" w:hAnsiTheme="minorHAnsi" w:cs="Calibri"/>
                <w:sz w:val="16"/>
                <w:szCs w:val="16"/>
              </w:rPr>
              <w:t>Judikatúra k Správnemu poriadku a Správnemu súdnemu poriadku [textový dokument (print)] [elektronický dokument] / Milučký, Jozef [Zostavovateľ, editor, 34%] ; Vallová, Jana [Zostavovateľ, editor, 33%] ; Potásch, Peter [Zostavovateľ, editor, 33%]. – 1. vyd. – Žilina (Slovensko) : Eurokódex, 2017. – 671 .s [tlačená forma] [online]. – ISBN 978-80-8155-069-0</w:t>
            </w:r>
          </w:p>
        </w:tc>
        <w:tc>
          <w:tcPr>
            <w:tcW w:w="312" w:type="dxa"/>
            <w:vAlign w:val="center"/>
          </w:tcPr>
          <w:p w14:paraId="75F8298F"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9B9E189" w14:textId="77777777" w:rsidTr="00685EA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7E0BE7AC"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9C3B49C" w14:textId="77777777" w:rsidR="00144C5B" w:rsidRPr="0013535C" w:rsidRDefault="0052740C">
            <w:pPr>
              <w:spacing w:after="0" w:line="240" w:lineRule="auto"/>
              <w:rPr>
                <w:rFonts w:eastAsia="Times New Roman" w:cs="Calibri"/>
                <w:sz w:val="16"/>
                <w:szCs w:val="16"/>
                <w:lang w:val="en-US" w:eastAsia="sk-SK"/>
              </w:rPr>
            </w:pPr>
            <w:r>
              <w:rPr>
                <w:rFonts w:eastAsia="Times New Roman" w:cs="Calibri"/>
                <w:sz w:val="16"/>
                <w:szCs w:val="16"/>
                <w:lang w:val="en-US" w:eastAsia="sk-SK"/>
              </w:rPr>
              <w:t>2017</w:t>
            </w:r>
          </w:p>
        </w:tc>
        <w:tc>
          <w:tcPr>
            <w:tcW w:w="312" w:type="dxa"/>
            <w:vAlign w:val="center"/>
          </w:tcPr>
          <w:p w14:paraId="53F499B7"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1B42E46" w14:textId="77777777" w:rsidTr="00685EA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0E3FBB" w14:textId="77777777" w:rsidR="00144C5B" w:rsidRPr="00685EA3" w:rsidRDefault="008310B9">
            <w:pPr>
              <w:spacing w:after="0" w:line="240" w:lineRule="auto"/>
              <w:rPr>
                <w:rFonts w:eastAsia="Times New Roman" w:cs="Calibri"/>
                <w:sz w:val="16"/>
                <w:szCs w:val="16"/>
                <w:lang w:eastAsia="sk-SK"/>
              </w:rPr>
            </w:pPr>
            <w:hyperlink r:id="rId16" w:anchor="'poznamky_explanatory notes'!A1" w:history="1">
              <w:r w:rsidR="001C0881" w:rsidRPr="00685EA3">
                <w:rPr>
                  <w:rFonts w:eastAsia="Times New Roman" w:cs="Calibri"/>
                  <w:sz w:val="16"/>
                  <w:szCs w:val="16"/>
                  <w:lang w:eastAsia="sk-SK"/>
                </w:rPr>
                <w:t xml:space="preserve">OCA8. ID záznamu v CREPČ alebo CREUČ </w:t>
              </w:r>
              <w:r w:rsidR="001C0881" w:rsidRPr="00685EA3">
                <w:rPr>
                  <w:rFonts w:eastAsia="Times New Roman" w:cs="Calibri"/>
                  <w:i/>
                  <w:iCs/>
                  <w:sz w:val="16"/>
                  <w:szCs w:val="16"/>
                  <w:lang w:eastAsia="sk-SK"/>
                </w:rPr>
                <w:t>(ak je)</w:t>
              </w:r>
              <w:r w:rsidR="001C0881" w:rsidRPr="00685EA3">
                <w:rPr>
                  <w:rFonts w:eastAsia="Times New Roman" w:cs="Calibri"/>
                  <w:sz w:val="16"/>
                  <w:szCs w:val="16"/>
                  <w:lang w:eastAsia="sk-SK"/>
                </w:rPr>
                <w:t xml:space="preserve"> / ID of the record in the Central Registry of Publication Activity (CRPA) or the Central Registry of Artistic Activity (CRAA) </w:t>
              </w:r>
              <w:r w:rsidR="001C0881" w:rsidRPr="00685EA3">
                <w:rPr>
                  <w:rFonts w:eastAsia="Times New Roman"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0CAF9F2F" w14:textId="77777777" w:rsidR="00144C5B" w:rsidRPr="0013535C" w:rsidRDefault="00725BC8">
            <w:pPr>
              <w:spacing w:after="0" w:line="240" w:lineRule="auto"/>
              <w:rPr>
                <w:rFonts w:eastAsia="Times New Roman" w:cs="Calibri"/>
                <w:sz w:val="16"/>
                <w:szCs w:val="16"/>
                <w:lang w:eastAsia="sk-SK"/>
              </w:rPr>
            </w:pPr>
            <w:r w:rsidRPr="00725BC8">
              <w:rPr>
                <w:rFonts w:eastAsia="Times New Roman" w:cs="Calibri"/>
                <w:sz w:val="16"/>
                <w:szCs w:val="16"/>
                <w:lang w:eastAsia="sk-SK"/>
              </w:rPr>
              <w:t>304145</w:t>
            </w:r>
          </w:p>
        </w:tc>
        <w:tc>
          <w:tcPr>
            <w:tcW w:w="312" w:type="dxa"/>
            <w:vAlign w:val="center"/>
          </w:tcPr>
          <w:p w14:paraId="487A9508"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509B6437" w14:textId="77777777" w:rsidTr="00685EA3">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5FE928" w14:textId="77777777" w:rsidR="00144C5B" w:rsidRPr="00685EA3" w:rsidRDefault="008310B9">
            <w:pPr>
              <w:spacing w:after="0" w:line="240" w:lineRule="auto"/>
              <w:rPr>
                <w:rFonts w:eastAsia="Times New Roman" w:cs="Calibri"/>
                <w:sz w:val="16"/>
                <w:szCs w:val="16"/>
                <w:lang w:eastAsia="sk-SK"/>
              </w:rPr>
            </w:pPr>
            <w:hyperlink r:id="rId17" w:anchor="'poznamky_explanatory notes'!A1" w:history="1">
              <w:r w:rsidR="001C0881" w:rsidRPr="00685EA3">
                <w:rPr>
                  <w:rFonts w:eastAsia="Times New Roman" w:cs="Calibri"/>
                  <w:sz w:val="16"/>
                  <w:szCs w:val="16"/>
                  <w:lang w:eastAsia="sk-SK"/>
                </w:rPr>
                <w:t xml:space="preserve">OCA9. Hyperlink na záznam v CREPČ alebo CREUČ / Hyperlink to the record in CRPA or CRAA </w:t>
              </w:r>
              <w:r w:rsidR="001C0881" w:rsidRPr="00685EA3">
                <w:rPr>
                  <w:rFonts w:eastAsia="Times New Roman"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32806013" w14:textId="77777777" w:rsidR="00144C5B" w:rsidRPr="0013535C" w:rsidRDefault="008310B9" w:rsidP="00725BC8">
            <w:pPr>
              <w:spacing w:after="0" w:line="240" w:lineRule="auto"/>
              <w:rPr>
                <w:rFonts w:eastAsia="Times New Roman" w:cs="Calibri"/>
                <w:sz w:val="16"/>
                <w:szCs w:val="16"/>
                <w:lang w:eastAsia="sk-SK"/>
              </w:rPr>
            </w:pPr>
            <w:hyperlink r:id="rId18" w:history="1">
              <w:r w:rsidR="00725BC8" w:rsidRPr="006771D8">
                <w:rPr>
                  <w:rStyle w:val="Hypertextovprepojenie"/>
                  <w:rFonts w:eastAsia="Times New Roman" w:cs="Calibri"/>
                  <w:sz w:val="16"/>
                  <w:szCs w:val="16"/>
                  <w:lang w:eastAsia="sk-SK"/>
                </w:rPr>
                <w:t>https://app.crepc.sk/?fn=detailBiblioForm&amp;sid=D36574D84339E31F03C82C1A8D</w:t>
              </w:r>
            </w:hyperlink>
          </w:p>
        </w:tc>
        <w:tc>
          <w:tcPr>
            <w:tcW w:w="312" w:type="dxa"/>
            <w:vAlign w:val="center"/>
          </w:tcPr>
          <w:p w14:paraId="01F289C1"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9844268" w14:textId="77777777" w:rsidTr="00685EA3">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60672C" w14:textId="77777777" w:rsidR="00144C5B" w:rsidRPr="00685EA3" w:rsidRDefault="001C0881">
            <w:pPr>
              <w:spacing w:after="0" w:line="240" w:lineRule="auto"/>
              <w:jc w:val="center"/>
              <w:rPr>
                <w:rFonts w:eastAsia="Times New Roman" w:cs="Calibri"/>
                <w:color w:val="000000"/>
                <w:sz w:val="16"/>
                <w:szCs w:val="16"/>
                <w:lang w:eastAsia="sk-SK"/>
              </w:rPr>
            </w:pPr>
            <w:r w:rsidRPr="00685EA3">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316307FC" w14:textId="77777777" w:rsidR="00144C5B" w:rsidRPr="00685EA3" w:rsidRDefault="008310B9">
            <w:pPr>
              <w:spacing w:after="0" w:line="240" w:lineRule="auto"/>
              <w:rPr>
                <w:rFonts w:eastAsia="Times New Roman" w:cs="Calibri"/>
                <w:sz w:val="16"/>
                <w:szCs w:val="16"/>
                <w:lang w:eastAsia="sk-SK"/>
              </w:rPr>
            </w:pPr>
            <w:hyperlink r:id="rId19" w:anchor="'poznamky_explanatory notes'!A1" w:history="1">
              <w:r w:rsidR="001C0881" w:rsidRPr="00685EA3">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C0881" w:rsidRPr="00685EA3">
                <w:rPr>
                  <w:rFonts w:eastAsia="Times New Roman"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3F3611E8" w14:textId="77777777" w:rsidR="00144C5B" w:rsidRPr="0013535C" w:rsidRDefault="00144C5B">
            <w:pPr>
              <w:spacing w:after="0" w:line="240" w:lineRule="auto"/>
              <w:ind w:left="160" w:hangingChars="100" w:hanging="160"/>
              <w:rPr>
                <w:rFonts w:eastAsia="Times New Roman" w:cs="Calibri"/>
                <w:sz w:val="16"/>
                <w:szCs w:val="16"/>
                <w:lang w:val="en-US" w:eastAsia="sk-SK"/>
              </w:rPr>
            </w:pPr>
          </w:p>
        </w:tc>
        <w:tc>
          <w:tcPr>
            <w:tcW w:w="312" w:type="dxa"/>
            <w:vAlign w:val="center"/>
          </w:tcPr>
          <w:p w14:paraId="1859D670"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43FCF7D" w14:textId="77777777" w:rsidTr="00685EA3">
        <w:trPr>
          <w:trHeight w:val="1515"/>
        </w:trPr>
        <w:tc>
          <w:tcPr>
            <w:tcW w:w="667" w:type="dxa"/>
            <w:vMerge/>
            <w:tcBorders>
              <w:top w:val="nil"/>
              <w:left w:val="single" w:sz="8" w:space="0" w:color="auto"/>
              <w:bottom w:val="single" w:sz="8" w:space="0" w:color="auto"/>
              <w:right w:val="single" w:sz="8" w:space="0" w:color="auto"/>
            </w:tcBorders>
            <w:vAlign w:val="center"/>
          </w:tcPr>
          <w:p w14:paraId="71F460B3"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72EB9D3"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669BA4CC" w14:textId="77777777" w:rsidR="00144C5B" w:rsidRPr="0013535C" w:rsidRDefault="00144C5B">
            <w:pPr>
              <w:spacing w:after="0" w:line="240" w:lineRule="auto"/>
              <w:rPr>
                <w:rFonts w:eastAsia="Times New Roman" w:cs="Calibri"/>
                <w:sz w:val="16"/>
                <w:szCs w:val="16"/>
                <w:lang w:eastAsia="sk-SK"/>
              </w:rPr>
            </w:pPr>
          </w:p>
        </w:tc>
        <w:tc>
          <w:tcPr>
            <w:tcW w:w="312" w:type="dxa"/>
            <w:vAlign w:val="center"/>
          </w:tcPr>
          <w:p w14:paraId="7C0E1B72"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FC5C708" w14:textId="77777777" w:rsidTr="00685EA3">
        <w:trPr>
          <w:trHeight w:val="1290"/>
        </w:trPr>
        <w:tc>
          <w:tcPr>
            <w:tcW w:w="667" w:type="dxa"/>
            <w:vMerge/>
            <w:tcBorders>
              <w:top w:val="nil"/>
              <w:left w:val="single" w:sz="8" w:space="0" w:color="auto"/>
              <w:bottom w:val="single" w:sz="8" w:space="0" w:color="auto"/>
              <w:right w:val="single" w:sz="8" w:space="0" w:color="auto"/>
            </w:tcBorders>
            <w:vAlign w:val="center"/>
          </w:tcPr>
          <w:p w14:paraId="5F07B79D"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461BEDA2" w14:textId="77777777" w:rsidR="00144C5B" w:rsidRPr="00685EA3" w:rsidRDefault="008310B9">
            <w:pPr>
              <w:spacing w:after="0" w:line="240" w:lineRule="auto"/>
              <w:rPr>
                <w:rFonts w:eastAsia="Times New Roman" w:cs="Calibri"/>
                <w:sz w:val="16"/>
                <w:szCs w:val="16"/>
                <w:lang w:eastAsia="sk-SK"/>
              </w:rPr>
            </w:pPr>
            <w:hyperlink r:id="rId20" w:anchor="Expl.OCA12!A1" w:history="1">
              <w:r w:rsidR="001C0881" w:rsidRPr="00685EA3">
                <w:rPr>
                  <w:rFonts w:eastAsia="Times New Roman" w:cs="Calibri"/>
                  <w:sz w:val="16"/>
                  <w:szCs w:val="16"/>
                  <w:lang w:eastAsia="sk-SK"/>
                </w:rPr>
                <w:t>OCA12. Typ výstupu (ak nie je výstup registrovaný v CREPČ alebo CREUČ) / Type of the output (if the output is not registered in CRPA or CRAA)</w:t>
              </w:r>
              <w:r w:rsidR="001C0881" w:rsidRPr="00685EA3">
                <w:rPr>
                  <w:rFonts w:eastAsia="Times New Roman" w:cs="Calibri"/>
                  <w:sz w:val="16"/>
                  <w:szCs w:val="16"/>
                  <w:lang w:eastAsia="sk-SK"/>
                </w:rPr>
                <w:br/>
              </w:r>
              <w:r w:rsidR="001C0881" w:rsidRPr="00685EA3">
                <w:rPr>
                  <w:rFonts w:eastAsia="Times New Roman"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38783366" w14:textId="77777777" w:rsidR="00144C5B" w:rsidRPr="0013535C" w:rsidRDefault="00144C5B" w:rsidP="007D5471">
            <w:pPr>
              <w:pStyle w:val="Textpoznmkypodiarou"/>
              <w:rPr>
                <w:rFonts w:eastAsia="Times New Roman" w:cs="Calibri"/>
                <w:i/>
                <w:iCs/>
                <w:sz w:val="16"/>
                <w:szCs w:val="16"/>
                <w:lang w:val="en-US" w:eastAsia="sk-SK"/>
              </w:rPr>
            </w:pPr>
          </w:p>
        </w:tc>
        <w:tc>
          <w:tcPr>
            <w:tcW w:w="312" w:type="dxa"/>
            <w:vAlign w:val="center"/>
          </w:tcPr>
          <w:p w14:paraId="765897D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2C96A1C1" w14:textId="77777777" w:rsidTr="00685EA3">
        <w:trPr>
          <w:trHeight w:val="1110"/>
        </w:trPr>
        <w:tc>
          <w:tcPr>
            <w:tcW w:w="667" w:type="dxa"/>
            <w:vMerge/>
            <w:tcBorders>
              <w:top w:val="nil"/>
              <w:left w:val="single" w:sz="8" w:space="0" w:color="auto"/>
              <w:bottom w:val="single" w:sz="8" w:space="0" w:color="auto"/>
              <w:right w:val="single" w:sz="8" w:space="0" w:color="auto"/>
            </w:tcBorders>
            <w:vAlign w:val="center"/>
          </w:tcPr>
          <w:p w14:paraId="2171531A"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38DD414"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430DCF9E" w14:textId="77777777" w:rsidR="00144C5B" w:rsidRPr="0013535C" w:rsidRDefault="00144C5B">
            <w:pPr>
              <w:spacing w:after="0" w:line="240" w:lineRule="auto"/>
              <w:rPr>
                <w:sz w:val="16"/>
                <w:szCs w:val="16"/>
                <w:lang w:val="en-US" w:eastAsia="sk-SK"/>
              </w:rPr>
            </w:pPr>
          </w:p>
        </w:tc>
        <w:tc>
          <w:tcPr>
            <w:tcW w:w="312" w:type="dxa"/>
            <w:vAlign w:val="center"/>
          </w:tcPr>
          <w:p w14:paraId="03E2BDC3"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3AC92677" w14:textId="77777777" w:rsidTr="00685EA3">
        <w:trPr>
          <w:trHeight w:val="765"/>
        </w:trPr>
        <w:tc>
          <w:tcPr>
            <w:tcW w:w="667" w:type="dxa"/>
            <w:vMerge/>
            <w:tcBorders>
              <w:top w:val="nil"/>
              <w:left w:val="single" w:sz="8" w:space="0" w:color="auto"/>
              <w:bottom w:val="single" w:sz="8" w:space="0" w:color="auto"/>
              <w:right w:val="single" w:sz="8" w:space="0" w:color="auto"/>
            </w:tcBorders>
            <w:vAlign w:val="center"/>
          </w:tcPr>
          <w:p w14:paraId="29C840A2"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2644053"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5B046FD7" w14:textId="77777777" w:rsidR="00144C5B" w:rsidRPr="0013535C" w:rsidRDefault="00144C5B">
            <w:pPr>
              <w:spacing w:after="0" w:line="240" w:lineRule="auto"/>
              <w:rPr>
                <w:rFonts w:eastAsia="Times New Roman" w:cs="Calibri"/>
                <w:sz w:val="16"/>
                <w:szCs w:val="16"/>
                <w:lang w:val="en-US" w:eastAsia="sk-SK"/>
              </w:rPr>
            </w:pPr>
          </w:p>
        </w:tc>
        <w:tc>
          <w:tcPr>
            <w:tcW w:w="312" w:type="dxa"/>
            <w:vAlign w:val="center"/>
          </w:tcPr>
          <w:p w14:paraId="54437415"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3285F6E" w14:textId="77777777" w:rsidTr="00685EA3">
        <w:trPr>
          <w:trHeight w:val="2310"/>
        </w:trPr>
        <w:tc>
          <w:tcPr>
            <w:tcW w:w="667" w:type="dxa"/>
            <w:vMerge/>
            <w:tcBorders>
              <w:top w:val="nil"/>
              <w:left w:val="single" w:sz="8" w:space="0" w:color="auto"/>
              <w:bottom w:val="single" w:sz="8" w:space="0" w:color="auto"/>
              <w:right w:val="single" w:sz="8" w:space="0" w:color="auto"/>
            </w:tcBorders>
            <w:vAlign w:val="center"/>
          </w:tcPr>
          <w:p w14:paraId="51D57F17" w14:textId="77777777" w:rsidR="00144C5B" w:rsidRPr="00685EA3" w:rsidRDefault="00144C5B">
            <w:pPr>
              <w:spacing w:after="0" w:line="240" w:lineRule="auto"/>
              <w:rPr>
                <w:rFonts w:eastAsia="Times New Roman"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067989B9" w14:textId="77777777" w:rsidR="00144C5B" w:rsidRPr="00685EA3" w:rsidRDefault="008310B9">
            <w:pPr>
              <w:spacing w:after="0" w:line="240" w:lineRule="auto"/>
              <w:rPr>
                <w:rFonts w:eastAsia="Times New Roman" w:cs="Calibri"/>
                <w:sz w:val="16"/>
                <w:szCs w:val="16"/>
                <w:lang w:eastAsia="sk-SK"/>
              </w:rPr>
            </w:pPr>
            <w:hyperlink r:id="rId21" w:anchor="'poznamky_explanatory notes'!A1" w:history="1">
              <w:r w:rsidR="001C0881" w:rsidRPr="00685EA3">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C0881" w:rsidRPr="00685EA3">
                <w:rPr>
                  <w:rFonts w:eastAsia="Times New Roman" w:cs="Calibri"/>
                  <w:sz w:val="16"/>
                  <w:szCs w:val="16"/>
                  <w:vertAlign w:val="superscript"/>
                  <w:lang w:eastAsia="sk-SK"/>
                </w:rPr>
                <w:t>8</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v slovenskom jazyku / Range up to 200 words in Slovak</w:t>
              </w:r>
              <w:r w:rsidR="001C0881" w:rsidRPr="00685EA3">
                <w:rPr>
                  <w:rFonts w:eastAsia="Times New Roman"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7FA5350D" w14:textId="77777777" w:rsidR="00144C5B" w:rsidRPr="0013535C" w:rsidRDefault="00144C5B">
            <w:pPr>
              <w:spacing w:after="0" w:line="240" w:lineRule="auto"/>
              <w:rPr>
                <w:rFonts w:eastAsia="Times New Roman" w:cs="Calibri"/>
                <w:sz w:val="16"/>
                <w:szCs w:val="16"/>
                <w:lang w:eastAsia="sk-SK"/>
              </w:rPr>
            </w:pPr>
          </w:p>
        </w:tc>
        <w:tc>
          <w:tcPr>
            <w:tcW w:w="312" w:type="dxa"/>
            <w:shd w:val="clear" w:color="auto" w:fill="auto"/>
            <w:vAlign w:val="center"/>
          </w:tcPr>
          <w:p w14:paraId="7FF1326C"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4BD100DB" w14:textId="77777777" w:rsidTr="00FF07B2">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EE1E517" w14:textId="77777777" w:rsidR="00144C5B" w:rsidRPr="00685EA3" w:rsidRDefault="008310B9">
            <w:pPr>
              <w:spacing w:after="0" w:line="240" w:lineRule="auto"/>
              <w:rPr>
                <w:rFonts w:eastAsia="Times New Roman" w:cs="Calibri"/>
                <w:sz w:val="16"/>
                <w:szCs w:val="16"/>
                <w:lang w:eastAsia="sk-SK"/>
              </w:rPr>
            </w:pPr>
            <w:hyperlink r:id="rId22" w:anchor="'poznamky_explanatory notes'!A1" w:history="1">
              <w:r w:rsidR="001C0881" w:rsidRPr="00685EA3">
                <w:rPr>
                  <w:rFonts w:eastAsia="Times New Roman" w:cs="Calibri"/>
                  <w:sz w:val="16"/>
                  <w:szCs w:val="16"/>
                  <w:lang w:eastAsia="sk-SK"/>
                </w:rPr>
                <w:t xml:space="preserve">OCA16. Anotácia výstupu v anglickom jazyku / Annotation of the output in English </w:t>
              </w:r>
              <w:r w:rsidR="001C0881" w:rsidRPr="00685EA3">
                <w:rPr>
                  <w:rFonts w:eastAsia="Times New Roman" w:cs="Calibri"/>
                  <w:sz w:val="16"/>
                  <w:szCs w:val="16"/>
                  <w:vertAlign w:val="superscript"/>
                  <w:lang w:eastAsia="sk-SK"/>
                </w:rPr>
                <w:t xml:space="preserve"> 9</w:t>
              </w:r>
              <w:r w:rsidR="001C0881" w:rsidRPr="00685EA3">
                <w:rPr>
                  <w:rFonts w:eastAsia="Times New Roman" w:cs="Calibri"/>
                  <w:sz w:val="16"/>
                  <w:szCs w:val="16"/>
                  <w:lang w:eastAsia="sk-SK"/>
                </w:rPr>
                <w:br w:type="page"/>
              </w:r>
              <w:r w:rsidR="001C0881" w:rsidRPr="00685EA3">
                <w:rPr>
                  <w:rFonts w:eastAsia="Times New Roman"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7D2C41C0" w14:textId="1AE6CC5A" w:rsidR="00144C5B" w:rsidRDefault="00C5557B">
            <w:pPr>
              <w:spacing w:after="0" w:line="240" w:lineRule="auto"/>
              <w:rPr>
                <w:rFonts w:eastAsia="SimSun" w:cs="Calibri"/>
                <w:sz w:val="16"/>
                <w:szCs w:val="16"/>
                <w:lang w:eastAsia="sk-SK"/>
              </w:rPr>
            </w:pPr>
            <w:r w:rsidRPr="001C5227">
              <w:rPr>
                <w:rFonts w:eastAsia="SimSun" w:cs="Calibri"/>
                <w:sz w:val="16"/>
                <w:szCs w:val="16"/>
                <w:lang w:eastAsia="sk-SK"/>
              </w:rPr>
              <w:t>Podiel autora v spracovaní: V publikácii autori veľmi citlivo reagujú na potreby aplikačnej praxe. Široké spektrum veľmi zaujímavých rozhodnutí prijatých správnym kolégiom Najvyššieho súdu SR je jej veľkým obohatením. Publikácia je určená pre všetkých zamestnancov verejnej správy, akademickej obce, vrátane študentov nielen právnických fakúlt.</w:t>
            </w:r>
          </w:p>
          <w:p w14:paraId="233A4967" w14:textId="77777777" w:rsidR="0008475E" w:rsidRPr="001C5227" w:rsidRDefault="0008475E">
            <w:pPr>
              <w:spacing w:after="0" w:line="240" w:lineRule="auto"/>
              <w:rPr>
                <w:rFonts w:eastAsia="SimSun" w:cs="Calibri"/>
                <w:sz w:val="16"/>
                <w:szCs w:val="16"/>
                <w:lang w:eastAsia="sk-SK"/>
              </w:rPr>
            </w:pPr>
          </w:p>
          <w:p w14:paraId="5B1E6CEF" w14:textId="391C9830" w:rsidR="00C209CC" w:rsidRPr="001C5227" w:rsidRDefault="00C209CC">
            <w:pPr>
              <w:spacing w:after="0" w:line="240" w:lineRule="auto"/>
              <w:rPr>
                <w:rFonts w:eastAsia="SimSun" w:cs="Calibri"/>
                <w:sz w:val="16"/>
                <w:szCs w:val="16"/>
                <w:lang w:val="en-GB" w:eastAsia="sk-SK"/>
              </w:rPr>
            </w:pPr>
            <w:r w:rsidRPr="001C5227">
              <w:rPr>
                <w:rFonts w:eastAsia="SimSun" w:cs="Calibri"/>
                <w:sz w:val="16"/>
                <w:szCs w:val="16"/>
                <w:lang w:val="en-GB" w:eastAsia="sk-SK"/>
              </w:rPr>
              <w:t>Author’s share is in elaboration: Authors very gently reacts on necessities of application practice. Wide spectrum of very interesting decision made by Administrative Collegium of Slovak Supreme Court is very enriching. Publication is dedicated to all public administration employees, academics, including students not just faculties of Law.</w:t>
            </w:r>
          </w:p>
        </w:tc>
        <w:tc>
          <w:tcPr>
            <w:tcW w:w="312" w:type="dxa"/>
            <w:shd w:val="clear" w:color="auto" w:fill="auto"/>
            <w:vAlign w:val="center"/>
          </w:tcPr>
          <w:p w14:paraId="3945F4E6"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5E9009C" w14:textId="77777777" w:rsidTr="00685EA3">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C1AC194"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19811373" w14:textId="77777777" w:rsidR="00144C5B" w:rsidRPr="001C5227" w:rsidRDefault="008B7321" w:rsidP="00A5100B">
            <w:pPr>
              <w:spacing w:after="0"/>
              <w:rPr>
                <w:rFonts w:eastAsia="SimSun" w:cs="Trebuchet MS"/>
                <w:sz w:val="16"/>
                <w:szCs w:val="16"/>
                <w:shd w:val="clear" w:color="auto" w:fill="FFFFFF"/>
                <w:lang w:eastAsia="sk-SK"/>
              </w:rPr>
            </w:pPr>
            <w:r w:rsidRPr="001C5227">
              <w:rPr>
                <w:rFonts w:eastAsia="SimSun" w:cs="Trebuchet MS"/>
                <w:sz w:val="16"/>
                <w:szCs w:val="16"/>
                <w:shd w:val="clear" w:color="auto" w:fill="FFFFFF"/>
                <w:lang w:eastAsia="sk-SK"/>
              </w:rPr>
              <w:t>neexistujú žiadne citácie</w:t>
            </w:r>
          </w:p>
        </w:tc>
        <w:tc>
          <w:tcPr>
            <w:tcW w:w="312" w:type="dxa"/>
            <w:shd w:val="clear" w:color="auto" w:fill="auto"/>
            <w:vAlign w:val="center"/>
          </w:tcPr>
          <w:p w14:paraId="07D3DD9A"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0624A804" w14:textId="77777777" w:rsidTr="00FF07B2">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6C94C32"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0036EC4A" w14:textId="77777777" w:rsidR="0008475E" w:rsidRPr="0008475E" w:rsidRDefault="00FF07B2" w:rsidP="0008475E">
            <w:pPr>
              <w:pStyle w:val="PredformtovanHTML"/>
              <w:shd w:val="clear" w:color="auto" w:fill="F8F9FA"/>
              <w:rPr>
                <w:rFonts w:asciiTheme="minorHAnsi" w:hAnsiTheme="minorHAnsi" w:cs="Calibri"/>
                <w:sz w:val="16"/>
                <w:szCs w:val="16"/>
              </w:rPr>
            </w:pPr>
            <w:r w:rsidRPr="001C5227">
              <w:rPr>
                <w:rFonts w:asciiTheme="minorHAnsi" w:hAnsiTheme="minorHAnsi" w:cs="Calibri"/>
                <w:sz w:val="16"/>
                <w:szCs w:val="16"/>
              </w:rPr>
              <w:t>Podiel autora v spracovaní: V publikácii autori veľmi citlivo reagujú na potreby aplikačnej praxe. Široké spektrum veľmi zaujímavých rozhodnutí prijatých správnym kolégiom Najvyššieho súdu SR je jej veľkým obohatením. Publikácia je určená pre všetkých zamestnancov verejnej správy, akademickej obce, vrátane študentov nielen právnických fakúlt. V publikácii je „skutočná judikatúra“ Najvyššieho súdu SR, pretože sú tu zaradené iba tie rozhodnutia, ktoré prešli kvalifikovaným judikatúrnym procesom, čo je osobitnou pridanou hodnotou pre aplikačnú prax.</w:t>
            </w:r>
            <w:r w:rsidR="0008475E">
              <w:rPr>
                <w:rFonts w:asciiTheme="minorHAnsi" w:hAnsiTheme="minorHAnsi" w:cs="Calibri"/>
                <w:sz w:val="16"/>
                <w:szCs w:val="16"/>
              </w:rPr>
              <w:t xml:space="preserve"> </w:t>
            </w:r>
            <w:r w:rsidR="0008475E" w:rsidRPr="0008475E">
              <w:rPr>
                <w:rFonts w:asciiTheme="minorHAnsi" w:hAnsiTheme="minorHAnsi" w:cs="Calibri"/>
                <w:sz w:val="16"/>
                <w:szCs w:val="16"/>
              </w:rPr>
              <w:t>Význam publikácie spočíva v tom, že je v ňom zhromaždená judikatúra Najvyššieho súdu SR , ktorá má význam pre všetky orgány verejnej moci – súdy, prokuratúru, verejného ochrancu práv, verejného ochrancu práv pre deti, verejného ochrancu práv pre osoby s ťažkým zdravotným postihnutím,</w:t>
            </w:r>
          </w:p>
          <w:p w14:paraId="0D7408D2" w14:textId="56138ED3" w:rsidR="00144C5B" w:rsidRDefault="0008475E" w:rsidP="0008475E">
            <w:pPr>
              <w:pStyle w:val="PredformtovanHTML"/>
              <w:shd w:val="clear" w:color="auto" w:fill="F8F9FA"/>
              <w:rPr>
                <w:rFonts w:asciiTheme="minorHAnsi" w:hAnsiTheme="minorHAnsi" w:cs="Calibri"/>
                <w:sz w:val="16"/>
                <w:szCs w:val="16"/>
              </w:rPr>
            </w:pPr>
            <w:r w:rsidRPr="0008475E">
              <w:rPr>
                <w:rFonts w:asciiTheme="minorHAnsi" w:hAnsiTheme="minorHAnsi" w:cs="Calibri"/>
                <w:sz w:val="16"/>
                <w:szCs w:val="16"/>
              </w:rPr>
              <w:t>mimovládne neziskové organizácie, vzdelávacie inštitúcie, vrátane partnerov vysokej školy.</w:t>
            </w:r>
          </w:p>
          <w:p w14:paraId="497D8977" w14:textId="77777777" w:rsidR="0008475E" w:rsidRPr="001C5227" w:rsidRDefault="0008475E" w:rsidP="00FD41C7">
            <w:pPr>
              <w:pStyle w:val="PredformtovanHTML"/>
              <w:shd w:val="clear" w:color="auto" w:fill="F8F9FA"/>
              <w:rPr>
                <w:rFonts w:asciiTheme="minorHAnsi" w:hAnsiTheme="minorHAnsi" w:cs="Calibri"/>
                <w:sz w:val="16"/>
                <w:szCs w:val="16"/>
              </w:rPr>
            </w:pPr>
          </w:p>
          <w:p w14:paraId="637CE6BD" w14:textId="3FDB7E17" w:rsidR="00C209CC" w:rsidRPr="001C5227" w:rsidRDefault="00C209CC" w:rsidP="00FD41C7">
            <w:pPr>
              <w:pStyle w:val="PredformtovanHTML"/>
              <w:shd w:val="clear" w:color="auto" w:fill="F8F9FA"/>
              <w:rPr>
                <w:rFonts w:asciiTheme="minorHAnsi" w:hAnsiTheme="minorHAnsi" w:cs="Calibri"/>
                <w:sz w:val="16"/>
                <w:szCs w:val="16"/>
                <w:lang w:val="en-GB"/>
              </w:rPr>
            </w:pPr>
            <w:r w:rsidRPr="001C5227">
              <w:rPr>
                <w:rFonts w:asciiTheme="minorHAnsi" w:hAnsiTheme="minorHAnsi" w:cs="Calibri"/>
                <w:sz w:val="16"/>
                <w:szCs w:val="16"/>
                <w:lang w:val="en-GB"/>
              </w:rPr>
              <w:t>Author’s share is in elaboration: Authors very gently reacts on necessities of application practice. Wide spectrum of very interesting decision made by Administrative Collegium of Slovak Supreme Court is very enriching. Publication is dedicated to all public administration employees, academics, including students not just faculties of Law. Publication includes „real court decisions“ of the Slovak Supreme Court, because it consist just of the decision</w:t>
            </w:r>
            <w:r w:rsidR="009F252A" w:rsidRPr="001C5227">
              <w:rPr>
                <w:rFonts w:asciiTheme="minorHAnsi" w:hAnsiTheme="minorHAnsi" w:cs="Calibri"/>
                <w:sz w:val="16"/>
                <w:szCs w:val="16"/>
                <w:lang w:val="en-GB"/>
              </w:rPr>
              <w:t>s</w:t>
            </w:r>
            <w:r w:rsidRPr="001C5227">
              <w:rPr>
                <w:rFonts w:asciiTheme="minorHAnsi" w:hAnsiTheme="minorHAnsi" w:cs="Calibri"/>
                <w:sz w:val="16"/>
                <w:szCs w:val="16"/>
                <w:lang w:val="en-GB"/>
              </w:rPr>
              <w:t>, which passed qualified judicial process, what is an absolute added value for application practice.</w:t>
            </w:r>
            <w:r w:rsidR="0008475E">
              <w:rPr>
                <w:rFonts w:asciiTheme="minorHAnsi" w:hAnsiTheme="minorHAnsi" w:cs="Calibri"/>
                <w:sz w:val="16"/>
                <w:szCs w:val="16"/>
                <w:lang w:val="en-GB"/>
              </w:rPr>
              <w:t xml:space="preserve"> </w:t>
            </w:r>
            <w:r w:rsidR="0008475E" w:rsidRPr="0008475E">
              <w:rPr>
                <w:rFonts w:asciiTheme="minorHAnsi" w:hAnsiTheme="minorHAnsi" w:cs="Calibri"/>
                <w:sz w:val="16"/>
                <w:szCs w:val="16"/>
                <w:lang w:val="en-GB"/>
              </w:rPr>
              <w:t>The significance of the publication lies in the compilation of jurisprudence from the Supreme Court of the Slovak Republic, which is relevant for all public authorities – courts, prosecution, public ombudsman, public ombudsman for children, public ombudsman for persons with severe health disabilities, non-governmental non-profit organizations, educational institutions, including university partners.</w:t>
            </w:r>
          </w:p>
        </w:tc>
        <w:tc>
          <w:tcPr>
            <w:tcW w:w="312" w:type="dxa"/>
            <w:shd w:val="clear" w:color="auto" w:fill="auto"/>
            <w:vAlign w:val="center"/>
          </w:tcPr>
          <w:p w14:paraId="49ACD2ED" w14:textId="77777777" w:rsidR="00144C5B" w:rsidRPr="00685EA3" w:rsidRDefault="00144C5B">
            <w:pPr>
              <w:spacing w:after="0" w:line="240" w:lineRule="auto"/>
              <w:rPr>
                <w:rFonts w:eastAsia="Times New Roman" w:cs="Times New Roman"/>
                <w:sz w:val="16"/>
                <w:szCs w:val="16"/>
                <w:lang w:eastAsia="sk-SK"/>
              </w:rPr>
            </w:pPr>
          </w:p>
        </w:tc>
      </w:tr>
      <w:tr w:rsidR="00144C5B" w:rsidRPr="00685EA3" w14:paraId="6073D101" w14:textId="77777777" w:rsidTr="00250F6A">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74E53BB" w14:textId="77777777" w:rsidR="00144C5B" w:rsidRPr="00685EA3" w:rsidRDefault="001C0881">
            <w:pPr>
              <w:spacing w:after="0" w:line="240" w:lineRule="auto"/>
              <w:rPr>
                <w:rFonts w:eastAsia="Times New Roman" w:cs="Calibri"/>
                <w:color w:val="000000"/>
                <w:sz w:val="16"/>
                <w:szCs w:val="16"/>
                <w:lang w:eastAsia="sk-SK"/>
              </w:rPr>
            </w:pPr>
            <w:r w:rsidRPr="00685EA3">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sidRPr="00685EA3">
              <w:rPr>
                <w:rFonts w:eastAsia="Times New Roman" w:cs="Calibri"/>
                <w:color w:val="000000"/>
                <w:sz w:val="16"/>
                <w:szCs w:val="16"/>
                <w:lang w:eastAsia="sk-SK"/>
              </w:rPr>
              <w:br/>
            </w:r>
            <w:r w:rsidRPr="00685EA3">
              <w:rPr>
                <w:rFonts w:eastAsia="Times New Roman" w:cs="Calibri"/>
                <w:i/>
                <w:iCs/>
                <w:color w:val="808080"/>
                <w:sz w:val="16"/>
                <w:szCs w:val="16"/>
                <w:lang w:eastAsia="sk-SK"/>
              </w:rPr>
              <w:t>Rozsah do 200 slov v slovenskom jazyku / Range up to 200 words in Slovak</w:t>
            </w:r>
            <w:r w:rsidRPr="00685EA3">
              <w:rPr>
                <w:rFonts w:eastAsia="Times New Roman"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1F64FAE" w14:textId="453408AF" w:rsidR="00144C5B" w:rsidRDefault="00250F6A">
            <w:pPr>
              <w:pStyle w:val="PredformtovanHTML"/>
              <w:shd w:val="clear" w:color="auto" w:fill="F8F9FA"/>
              <w:rPr>
                <w:rFonts w:asciiTheme="minorHAnsi" w:hAnsiTheme="minorHAnsi" w:cs="Calibri"/>
                <w:sz w:val="16"/>
                <w:szCs w:val="16"/>
              </w:rPr>
            </w:pPr>
            <w:r w:rsidRPr="001C5227">
              <w:rPr>
                <w:rFonts w:asciiTheme="minorHAnsi" w:hAnsiTheme="minorHAnsi" w:cs="Calibri"/>
                <w:sz w:val="16"/>
                <w:szCs w:val="16"/>
              </w:rPr>
              <w:t xml:space="preserve">Predkladané judikáty </w:t>
            </w:r>
            <w:r w:rsidR="00F76FE0" w:rsidRPr="001C5227">
              <w:rPr>
                <w:rFonts w:asciiTheme="minorHAnsi" w:hAnsiTheme="minorHAnsi" w:cs="Calibri"/>
                <w:sz w:val="16"/>
                <w:szCs w:val="16"/>
              </w:rPr>
              <w:t>predstavujú ustálenú rozhodovaciu prax a mnohé z nich môžu byť inšpiráciou a zároveň pomôckou pri aplikácii právnych predpisov aj v sociálnej oblasti.</w:t>
            </w:r>
            <w:r w:rsidR="0008475E">
              <w:rPr>
                <w:rFonts w:asciiTheme="minorHAnsi" w:hAnsiTheme="minorHAnsi" w:cs="Calibri"/>
                <w:sz w:val="16"/>
                <w:szCs w:val="16"/>
              </w:rPr>
              <w:t xml:space="preserve"> </w:t>
            </w:r>
            <w:r w:rsidR="0008475E" w:rsidRPr="0008475E">
              <w:rPr>
                <w:rFonts w:asciiTheme="minorHAnsi" w:hAnsiTheme="minorHAnsi" w:cs="Calibri"/>
                <w:sz w:val="16"/>
                <w:szCs w:val="16"/>
              </w:rPr>
              <w:t>Vo vzdelávacom procese táto publikácia koleruje s viacerými predmetmi, ako je občianske právo, rodinné právo, správne právo vo verejnej správe, sociálna práca vo verejnej správe, sociálna práca so žiadateľmi o azyl, sociálnoprávna ochrana a sociálna kuratela, právo sociálneho zabezpečenia.</w:t>
            </w:r>
          </w:p>
          <w:p w14:paraId="1DD311F8" w14:textId="77777777" w:rsidR="0008475E" w:rsidRPr="001C5227" w:rsidRDefault="0008475E">
            <w:pPr>
              <w:pStyle w:val="PredformtovanHTML"/>
              <w:shd w:val="clear" w:color="auto" w:fill="F8F9FA"/>
              <w:rPr>
                <w:rFonts w:asciiTheme="minorHAnsi" w:hAnsiTheme="minorHAnsi" w:cs="Calibri"/>
                <w:sz w:val="16"/>
                <w:szCs w:val="16"/>
              </w:rPr>
            </w:pPr>
          </w:p>
          <w:p w14:paraId="22EF0234" w14:textId="7D7030EF" w:rsidR="009F252A" w:rsidRPr="001C5227" w:rsidRDefault="009F252A">
            <w:pPr>
              <w:pStyle w:val="PredformtovanHTML"/>
              <w:shd w:val="clear" w:color="auto" w:fill="F8F9FA"/>
              <w:rPr>
                <w:rFonts w:asciiTheme="minorHAnsi" w:hAnsiTheme="minorHAnsi" w:cs="Calibri"/>
                <w:sz w:val="16"/>
                <w:szCs w:val="16"/>
                <w:lang w:val="en-GB"/>
              </w:rPr>
            </w:pPr>
            <w:r w:rsidRPr="001C5227">
              <w:rPr>
                <w:rFonts w:asciiTheme="minorHAnsi" w:hAnsiTheme="minorHAnsi" w:cs="Calibri"/>
                <w:sz w:val="16"/>
                <w:szCs w:val="16"/>
                <w:lang w:val="en-GB"/>
              </w:rPr>
              <w:t>Presented court decisions describes standard decision making practice and many of them can inspire and help in application of legal norms on social field.</w:t>
            </w:r>
            <w:r w:rsidR="0008475E">
              <w:rPr>
                <w:rFonts w:asciiTheme="minorHAnsi" w:hAnsiTheme="minorHAnsi" w:cs="Calibri"/>
                <w:sz w:val="16"/>
                <w:szCs w:val="16"/>
                <w:lang w:val="en-GB"/>
              </w:rPr>
              <w:t xml:space="preserve"> </w:t>
            </w:r>
            <w:r w:rsidR="0008475E" w:rsidRPr="0008475E">
              <w:rPr>
                <w:rFonts w:asciiTheme="minorHAnsi" w:hAnsiTheme="minorHAnsi" w:cs="Calibri"/>
                <w:sz w:val="16"/>
                <w:szCs w:val="16"/>
                <w:lang w:val="en-GB"/>
              </w:rPr>
              <w:t>In the educational process, this publication intersects with various subjects such as civil law, family law, administrative law in public administration, social work in public administration, social work with asylum seekers, social legal protection and social guardianship, and social security law.</w:t>
            </w:r>
            <w:bookmarkStart w:id="1" w:name="_GoBack"/>
            <w:bookmarkEnd w:id="1"/>
          </w:p>
        </w:tc>
        <w:tc>
          <w:tcPr>
            <w:tcW w:w="312" w:type="dxa"/>
            <w:shd w:val="clear" w:color="auto" w:fill="auto"/>
            <w:vAlign w:val="center"/>
          </w:tcPr>
          <w:p w14:paraId="4634537E" w14:textId="77777777" w:rsidR="00144C5B" w:rsidRPr="00685EA3" w:rsidRDefault="00144C5B">
            <w:pPr>
              <w:spacing w:after="0" w:line="240" w:lineRule="auto"/>
              <w:rPr>
                <w:rFonts w:eastAsia="Times New Roman" w:cs="Times New Roman"/>
                <w:sz w:val="16"/>
                <w:szCs w:val="16"/>
                <w:lang w:eastAsia="sk-SK"/>
              </w:rPr>
            </w:pPr>
          </w:p>
        </w:tc>
      </w:tr>
    </w:tbl>
    <w:p w14:paraId="5625F119" w14:textId="77777777" w:rsidR="00144C5B" w:rsidRPr="00685EA3" w:rsidRDefault="00144C5B">
      <w:pPr>
        <w:rPr>
          <w:sz w:val="16"/>
          <w:szCs w:val="16"/>
        </w:rPr>
      </w:pPr>
    </w:p>
    <w:sectPr w:rsidR="00144C5B" w:rsidRPr="00685EA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58863" w14:textId="77777777" w:rsidR="008310B9" w:rsidRDefault="008310B9">
      <w:pPr>
        <w:spacing w:line="240" w:lineRule="auto"/>
      </w:pPr>
      <w:r>
        <w:separator/>
      </w:r>
    </w:p>
  </w:endnote>
  <w:endnote w:type="continuationSeparator" w:id="0">
    <w:p w14:paraId="6F8BA1CE" w14:textId="77777777" w:rsidR="008310B9" w:rsidRDefault="008310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069EB" w14:textId="77777777" w:rsidR="008310B9" w:rsidRDefault="008310B9">
      <w:pPr>
        <w:spacing w:after="0"/>
      </w:pPr>
      <w:r>
        <w:separator/>
      </w:r>
    </w:p>
  </w:footnote>
  <w:footnote w:type="continuationSeparator" w:id="0">
    <w:p w14:paraId="5382BD25" w14:textId="77777777" w:rsidR="008310B9" w:rsidRDefault="008310B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8475E"/>
    <w:rsid w:val="00125E5D"/>
    <w:rsid w:val="0013535C"/>
    <w:rsid w:val="00144C5B"/>
    <w:rsid w:val="00190A9C"/>
    <w:rsid w:val="001B5D6F"/>
    <w:rsid w:val="001C0881"/>
    <w:rsid w:val="001C5227"/>
    <w:rsid w:val="001F38BA"/>
    <w:rsid w:val="001F4840"/>
    <w:rsid w:val="001F4FC1"/>
    <w:rsid w:val="00211BB7"/>
    <w:rsid w:val="00240F04"/>
    <w:rsid w:val="00250F6A"/>
    <w:rsid w:val="002A4087"/>
    <w:rsid w:val="002F1B6B"/>
    <w:rsid w:val="00306147"/>
    <w:rsid w:val="003D6698"/>
    <w:rsid w:val="00412D27"/>
    <w:rsid w:val="00444B82"/>
    <w:rsid w:val="004B4ABD"/>
    <w:rsid w:val="004C0ADE"/>
    <w:rsid w:val="00502B4B"/>
    <w:rsid w:val="0052740C"/>
    <w:rsid w:val="00571539"/>
    <w:rsid w:val="005A35D9"/>
    <w:rsid w:val="005C0CE2"/>
    <w:rsid w:val="005C2A91"/>
    <w:rsid w:val="005E7877"/>
    <w:rsid w:val="00663902"/>
    <w:rsid w:val="00685EA3"/>
    <w:rsid w:val="006C053C"/>
    <w:rsid w:val="006C3CE1"/>
    <w:rsid w:val="006E2C62"/>
    <w:rsid w:val="00725BC8"/>
    <w:rsid w:val="0073261A"/>
    <w:rsid w:val="00741BC9"/>
    <w:rsid w:val="0076130C"/>
    <w:rsid w:val="007D5471"/>
    <w:rsid w:val="0082236A"/>
    <w:rsid w:val="00826751"/>
    <w:rsid w:val="008310B9"/>
    <w:rsid w:val="00863F67"/>
    <w:rsid w:val="008B7321"/>
    <w:rsid w:val="0095624C"/>
    <w:rsid w:val="00986397"/>
    <w:rsid w:val="009864AC"/>
    <w:rsid w:val="009F252A"/>
    <w:rsid w:val="00A5100B"/>
    <w:rsid w:val="00AC16F9"/>
    <w:rsid w:val="00AF4F81"/>
    <w:rsid w:val="00B14E68"/>
    <w:rsid w:val="00B7427F"/>
    <w:rsid w:val="00B93F48"/>
    <w:rsid w:val="00C001B4"/>
    <w:rsid w:val="00C209CC"/>
    <w:rsid w:val="00C5557B"/>
    <w:rsid w:val="00C80BC6"/>
    <w:rsid w:val="00CD064D"/>
    <w:rsid w:val="00DD7B32"/>
    <w:rsid w:val="00DF58EF"/>
    <w:rsid w:val="00DF7F7C"/>
    <w:rsid w:val="00E11A07"/>
    <w:rsid w:val="00E643AE"/>
    <w:rsid w:val="00EC0A57"/>
    <w:rsid w:val="00EC3626"/>
    <w:rsid w:val="00F76FE0"/>
    <w:rsid w:val="00FD41C7"/>
    <w:rsid w:val="00FF07B2"/>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73C5D"/>
  <w15:docId w15:val="{4541A8A4-6E1E-4D1A-A07B-FF40F4E9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8" TargetMode="External"/><Relationship Id="rId18" Type="http://schemas.openxmlformats.org/officeDocument/2006/relationships/hyperlink" Target="https://app.crepc.sk/?fn=detailBiblioForm&amp;sid=D36574D84339E31F03C82C1A8D"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1471</Words>
  <Characters>8391</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MV SR</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Jana Vallová</cp:lastModifiedBy>
  <cp:revision>12</cp:revision>
  <dcterms:created xsi:type="dcterms:W3CDTF">2022-06-07T11:26:00Z</dcterms:created>
  <dcterms:modified xsi:type="dcterms:W3CDTF">2024-02-13T08:26:00Z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